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p>
    <w:p w:rsidR="003A5499" w:rsidRPr="007E50D5"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rsidR="004631F6" w:rsidRPr="007E50D5" w:rsidRDefault="004631F6" w:rsidP="004631F6">
      <w:pPr>
        <w:spacing w:before="0" w:after="200"/>
        <w:rPr>
          <w:rFonts w:eastAsia="Calibri" w:cs="Times New Roman"/>
          <w:color w:val="0070C0"/>
        </w:rPr>
      </w:pPr>
    </w:p>
    <w:p w:rsidR="003A5499" w:rsidRPr="007E50D5" w:rsidRDefault="004631F6" w:rsidP="003A5499">
      <w:pPr>
        <w:spacing w:before="0" w:after="200"/>
        <w:rPr>
          <w:rFonts w:eastAsia="Calibri" w:cs="Times New Roman"/>
          <w:color w:val="0070C0"/>
        </w:rPr>
      </w:pPr>
      <w:r w:rsidRPr="00DA64AF">
        <w:rPr>
          <w:rFonts w:eastAsia="Calibri" w:cs="Times New Roman"/>
          <w:b/>
          <w:color w:val="0070C0"/>
        </w:rPr>
        <w:t>Solicitantul/partenerul organizație publică de cercetare</w:t>
      </w:r>
      <w:r>
        <w:rPr>
          <w:rFonts w:eastAsia="Calibri" w:cs="Times New Roman"/>
          <w:color w:val="0070C0"/>
        </w:rPr>
        <w:t xml:space="preserve"> </w:t>
      </w:r>
      <w:r w:rsidR="003A5499" w:rsidRPr="007E50D5">
        <w:rPr>
          <w:rFonts w:eastAsia="Calibri" w:cs="Times New Roman"/>
          <w:color w:val="0070C0"/>
        </w:rPr>
        <w:t xml:space="preserve">completează Declarația unică după formatul anexă la ghidul solicitantului, respectiv secțiunile care se aplică prezentei metodologii: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Respectă cerințele specifice de eligibilitate aplicabile solicitantului/partenerului și proiectului prevăzute în Ghidul Solicitantului, după cum urmează (A1 și A2)</w:t>
      </w:r>
    </w:p>
    <w:p w:rsidR="003A5499" w:rsidRDefault="003A5499" w:rsidP="003A5499">
      <w:pPr>
        <w:spacing w:before="0" w:after="200"/>
        <w:rPr>
          <w:rFonts w:eastAsia="Calibri" w:cs="Times New Roman"/>
          <w:color w:val="0070C0"/>
        </w:rPr>
      </w:pPr>
      <w:r w:rsidRPr="007E50D5">
        <w:rPr>
          <w:rFonts w:eastAsia="Calibri" w:cs="Times New Roman"/>
          <w:color w:val="0070C0"/>
        </w:rPr>
        <w:t>A1. Solicitantul de finanțar</w:t>
      </w:r>
      <w:bookmarkStart w:id="0" w:name="_GoBack"/>
      <w:bookmarkEnd w:id="0"/>
      <w:r w:rsidRPr="007E50D5">
        <w:rPr>
          <w:rFonts w:eastAsia="Calibri" w:cs="Times New Roman"/>
          <w:color w:val="0070C0"/>
        </w:rPr>
        <w:t xml:space="preserve">e </w:t>
      </w:r>
    </w:p>
    <w:p w:rsidR="004631F6" w:rsidRDefault="004631F6" w:rsidP="003A5499">
      <w:pPr>
        <w:spacing w:before="0" w:after="200"/>
        <w:rPr>
          <w:rFonts w:eastAsia="Calibri" w:cs="Times New Roman"/>
          <w:color w:val="0070C0"/>
        </w:rPr>
      </w:pPr>
      <w:r>
        <w:rPr>
          <w:noProof/>
          <w:color w:val="0070C0"/>
          <w:lang w:val="en-US"/>
        </w:rPr>
        <mc:AlternateContent>
          <mc:Choice Requires="wps">
            <w:drawing>
              <wp:inline distT="0" distB="0" distL="0" distR="0" wp14:anchorId="040B193C" wp14:editId="38D3CF44">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16A531A"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4631F6">
        <w:rPr>
          <w:rFonts w:eastAsia="Calibri" w:cs="Times New Roman"/>
          <w:color w:val="0070C0"/>
        </w:rPr>
        <w:t>Este înregistrat și își desfășoară activitatea în România</w:t>
      </w:r>
    </w:p>
    <w:p w:rsidR="00D72E69" w:rsidRPr="007E50D5" w:rsidRDefault="00D72E69" w:rsidP="003A5499">
      <w:pPr>
        <w:spacing w:before="0" w:after="200"/>
        <w:rPr>
          <w:rFonts w:eastAsia="Calibri" w:cs="Times New Roman"/>
          <w:color w:val="0070C0"/>
        </w:rPr>
      </w:pPr>
      <w:r>
        <w:rPr>
          <w:noProof/>
          <w:color w:val="0070C0"/>
          <w:lang w:val="en-US"/>
        </w:rPr>
        <mc:AlternateContent>
          <mc:Choice Requires="wps">
            <w:drawing>
              <wp:inline distT="0" distB="0" distL="0" distR="0" wp14:anchorId="6C3A4975" wp14:editId="132108EA">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6D031CE"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D72E69">
        <w:rPr>
          <w:rFonts w:eastAsia="Calibri" w:cs="Times New Roman"/>
          <w:color w:val="0070C0"/>
        </w:rPr>
        <w:t>Este institut de cercetare de drept public sau institut de învățământ superior de stat cu personalitate juridică, 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p>
    <w:p w:rsidR="003A5499"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065" r="13335" b="11430"/>
                <wp:docPr id="4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D34D6E2"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pz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XbBpz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Solicitantul se încadrează în categoria solicitanților eligibili, inclusiv prin respectarea condițiilor care vizează eligibilitatea parteneriatelor, conform prevederilor din ghidul solicitantului cu privire la forma de constituire a solicitantului.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2F8C181"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7799426"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Solicitantul/partenerul desfășoară activități în domeniile de specializare inteligentă definite în Strategia Națională de Cercetare Inovare și Specializare Inteligentă 2022-2027</w:t>
      </w:r>
    </w:p>
    <w:p w:rsidR="003A5499" w:rsidRPr="007E50D5" w:rsidRDefault="009424FB" w:rsidP="00D72E6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E519F3"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65598F6"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Solicitantul/partenerul va deține în etapa de contractare dreptul asupra imobilului/lor (teren și construcții) vizat/e de către prezentul proiect, conform prevederilor ghidului solicitantului, iar imobilul/le în cauză va respecta în etapa de contractare cumulativ următoarele condiții:</w:t>
      </w:r>
    </w:p>
    <w:p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unor litigii în curs de soluționare la instanțele judecătorești cu privire la situația juridică a terenului si infrastructurii imobilului.</w:t>
      </w:r>
    </w:p>
    <w:p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Nu fac obiectul revendicărilor potrivit unor legi speciale în materie sau dreptului comun.</w:t>
      </w:r>
    </w:p>
    <w:p w:rsidR="003A5499" w:rsidRPr="007E50D5" w:rsidRDefault="003A5499" w:rsidP="00D72E69">
      <w:pPr>
        <w:tabs>
          <w:tab w:val="left" w:pos="1276"/>
          <w:tab w:val="left" w:pos="1418"/>
          <w:tab w:val="left" w:pos="1701"/>
        </w:tabs>
        <w:spacing w:before="0" w:after="200"/>
        <w:ind w:left="708"/>
        <w:rPr>
          <w:rFonts w:eastAsia="Calibri" w:cs="Times New Roman"/>
          <w:color w:val="0070C0"/>
        </w:rPr>
      </w:pPr>
      <w:r w:rsidRPr="007E50D5">
        <w:rPr>
          <w:rFonts w:eastAsia="Calibri" w:cs="Times New Roman"/>
          <w:color w:val="0070C0"/>
        </w:rPr>
        <w:t>-</w:t>
      </w:r>
      <w:r w:rsidRPr="007E50D5">
        <w:rPr>
          <w:rFonts w:eastAsia="Calibri" w:cs="Times New Roman"/>
          <w:color w:val="0070C0"/>
        </w:rPr>
        <w:tab/>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1FDC98E"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conformitate cu prevederile Codului fiscal este:</w:t>
      </w:r>
    </w:p>
    <w:p w:rsidR="003A5499" w:rsidRPr="007E50D5" w:rsidRDefault="003A5499" w:rsidP="00D72E69">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rsidR="003A5499" w:rsidRPr="007E50D5" w:rsidRDefault="003A5499" w:rsidP="00D72E69">
      <w:pPr>
        <w:spacing w:before="0" w:after="200"/>
        <w:ind w:left="708"/>
        <w:rPr>
          <w:rFonts w:eastAsia="Calibri" w:cs="Times New Roman"/>
          <w:color w:val="0070C0"/>
        </w:rPr>
      </w:pPr>
      <w:r w:rsidRPr="007E50D5">
        <w:rPr>
          <w:rFonts w:eastAsia="Calibri" w:cs="Times New Roman"/>
          <w:color w:val="0070C0"/>
        </w:rPr>
        <w:t>sau</w:t>
      </w:r>
    </w:p>
    <w:p w:rsidR="003A5499" w:rsidRPr="007E50D5" w:rsidRDefault="003A5499" w:rsidP="00D72E69">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7D4A5A1"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DF871B5"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003A5499"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45B6EB3"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Solicitantul a depus toate documentele justificative prevăzute în ghidul solicitantului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A2. Proiectul </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3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7A610F"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EogcZh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627C715"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F800F4A"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propus nu a mai beneficiat de finanțare publică în ultimii 5 ani și nu beneficiază în prezent, parțial sau în totalitate, de fonduri publice din alte surse de finanțare, altele decât cele ale solicitantului, pentru acel</w:t>
      </w:r>
      <w:r w:rsidR="00D72E69">
        <w:rPr>
          <w:rFonts w:eastAsia="Calibri" w:cs="Times New Roman"/>
          <w:color w:val="0070C0"/>
        </w:rPr>
        <w:t>e</w:t>
      </w:r>
      <w:r w:rsidR="003A5499" w:rsidRPr="007E50D5">
        <w:rPr>
          <w:rFonts w:eastAsia="Calibri" w:cs="Times New Roman"/>
          <w:color w:val="0070C0"/>
        </w:rPr>
        <w:t xml:space="preserve">ași activități </w:t>
      </w:r>
      <w:r w:rsidR="00D72E69">
        <w:rPr>
          <w:rFonts w:eastAsia="Calibri" w:cs="Times New Roman"/>
          <w:color w:val="0070C0"/>
        </w:rPr>
        <w:t>eligibile</w:t>
      </w:r>
      <w:r w:rsidR="003A5499" w:rsidRPr="007E50D5">
        <w:rPr>
          <w:rFonts w:eastAsia="Calibri" w:cs="Times New Roman"/>
          <w:color w:val="0070C0"/>
        </w:rPr>
        <w:t>.</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1647646"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Proiectul se încadrează în valorile maxime nerambursabile, stabilite conform prevederilor ghidurilor.</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BCCE16A"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Proiectul pentru care se solicită finanțare nu include activități supuse relocării sau nu constituie un transfer al unei activități productive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4A6B8C1"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FA1AEE9"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Include măsurile de comunicare și vizibilitate, conform cerințelor din Regulamentul (UE) </w:t>
      </w:r>
      <w:r w:rsidR="00E86F0F">
        <w:rPr>
          <w:rFonts w:eastAsia="Calibri" w:cs="Times New Roman"/>
          <w:color w:val="0070C0"/>
        </w:rPr>
        <w:t xml:space="preserve">nr. </w:t>
      </w:r>
      <w:r w:rsidR="00E86F0F" w:rsidRPr="007E50D5">
        <w:rPr>
          <w:rFonts w:eastAsia="Calibri" w:cs="Times New Roman"/>
          <w:color w:val="0070C0"/>
        </w:rPr>
        <w:t>1060</w:t>
      </w:r>
      <w:r w:rsidR="00E86F0F">
        <w:rPr>
          <w:rFonts w:eastAsia="Calibri" w:cs="Times New Roman"/>
          <w:color w:val="0070C0"/>
        </w:rPr>
        <w:t>/2021</w:t>
      </w:r>
      <w:r w:rsidR="003A5499" w:rsidRPr="007E50D5">
        <w:rPr>
          <w:rFonts w:eastAsia="Calibri" w:cs="Times New Roman"/>
          <w:color w:val="0070C0"/>
        </w:rPr>
        <w:t>,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B. Solicitantul si/sau partenerul NU se află în niciuna din situațiile de excludere prevăzute de legislația aplicabilă, respectiv Ghidul Solicitantului: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lastRenderedPageBreak/>
        <w:t>B1. Solicitantul de finanțare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FB8F1F3"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9E2EFD9"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CEFD88"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2C04849"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regăsește în situația de a fi fost stabilite debite în sarcina sa, ca urmare a măsurilor legale întreprinse de autoritatea de management.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Sau</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F33756"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finanţare în următoarele situaţii:</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a)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rsidR="003A5499" w:rsidRPr="007E50D5" w:rsidRDefault="003A5499" w:rsidP="003A5499">
      <w:pPr>
        <w:spacing w:before="0" w:after="200"/>
        <w:rPr>
          <w:rFonts w:eastAsia="Calibri" w:cs="Times New Roman"/>
          <w:color w:val="0070C0"/>
        </w:rPr>
      </w:pPr>
      <w:r w:rsidRPr="007E50D5">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rsidR="003A5499" w:rsidRPr="007E50D5" w:rsidRDefault="003A5499" w:rsidP="003A5499">
      <w:pPr>
        <w:spacing w:before="0" w:after="200"/>
        <w:rPr>
          <w:rFonts w:eastAsia="Calibri" w:cs="Times New Roman"/>
          <w:color w:val="0070C0"/>
        </w:rPr>
      </w:pPr>
      <w:r w:rsidRPr="007E50D5">
        <w:rPr>
          <w:rFonts w:eastAsia="Calibri" w:cs="Times New Roman"/>
          <w:b/>
          <w:color w:val="0070C0"/>
        </w:rPr>
        <w:t>B2. Reprezentantul legal al solicitantului de finanțare/partenerului</w:t>
      </w:r>
      <w:r w:rsidRPr="007E50D5">
        <w:rPr>
          <w:rFonts w:eastAsia="Calibri" w:cs="Times New Roman"/>
          <w:color w:val="0070C0"/>
        </w:rPr>
        <w:t>:</w:t>
      </w:r>
      <w:r w:rsidRPr="007E50D5">
        <w:rPr>
          <w:rFonts w:eastAsia="Calibri" w:cs="Times New Roman"/>
          <w:color w:val="0070C0"/>
        </w:rPr>
        <w:tab/>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71FC325"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Cjew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2BLwo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710F0BF"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într-o situaţie care are sau poate avea ca efect compromiterea obiectivității și imparțialității procesului de evaluare, selecție, contractare și implementare a proiectului.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797FB0C"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NU se află în situația de a induce grav în eroare AM/OI</w:t>
      </w:r>
      <w:r w:rsidR="00C25C67">
        <w:rPr>
          <w:rFonts w:eastAsia="Calibri" w:cs="Times New Roman"/>
          <w:color w:val="0070C0"/>
        </w:rPr>
        <w:t>C</w:t>
      </w:r>
      <w:r w:rsidR="003A5499" w:rsidRPr="007E50D5">
        <w:rPr>
          <w:rFonts w:eastAsia="Calibri" w:cs="Times New Roman"/>
          <w:color w:val="0070C0"/>
        </w:rPr>
        <w:t xml:space="preserve"> sau comisiile de evaluare, selecţie și contractare prin furnizarea de informaţii incorecte și/sau incomplete în cadrul prezentului apel de proiecte sau a altor apeluri de proiecte derulate în cadrul POCIDIF.</w:t>
      </w:r>
    </w:p>
    <w:p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CB3A0B4"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se află în situația de a încerca/de a fi încercat să obţină informaţii confidenţiale sau să influenţeze comisiile de evaluare sau AM/OI pe parcursul procesului de evaluare, selecție și contractare a prezentului apel de proiecte sau a altor apeluri de proiecte derulate în cadrul POCIDIF.</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EB16B79"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BF5F02"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rsidR="003A5499" w:rsidRPr="007E50D5" w:rsidRDefault="003A5499" w:rsidP="003A5499">
      <w:pPr>
        <w:spacing w:before="0" w:after="200"/>
        <w:rPr>
          <w:rFonts w:eastAsia="Calibri" w:cs="Times New Roman"/>
          <w:b/>
          <w:color w:val="0070C0"/>
        </w:rPr>
      </w:pPr>
      <w:r w:rsidRPr="007E50D5">
        <w:rPr>
          <w:rFonts w:eastAsia="Calibri" w:cs="Times New Roman"/>
          <w:b/>
          <w:color w:val="0070C0"/>
        </w:rPr>
        <w:t xml:space="preserve"> C.  Mă angajez ca organizația pe care o reprezint</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5240" r="12065" b="8255"/>
                <wp:docPr id="12"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CF44E10"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t0n9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legislaţia privind achizițiile publice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86A065"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66354D1"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respecte, pe durata pregătirii şi implementării proiectului, prevederile legislației europene şi naţionale în domeniul dezvoltării durabile, inclusiv DNSH, imunizarea la schimbări climatice, egalităţii de şanse, şi nediscriminării, egalităţii de gen, GDPR, Carta drepturilor fundamentale a Uniunii Europene, Convenției ONU privind drepturile persoanelor cu handicap, în domeniul ajutorului de stat și/sau de minimis (acolo unde este cazul), precum și dreptul aplicabil al Uniunii din domeniul spălării banilor, al finanțării terorismului, al evitării obligațiilor fiscale, al fraudei fiscale sau al evaziunii fiscale.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A9AC08E"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Înțelege că nerespectarea condiţiilor de eligibilitate conform ghidului solicitantului, oricând pe perioada procesului de evaluare, selecţie şi contractare, va conduce la respingerea cererii de finanţare. În acest sens, înţelege că orice situaţie, eveniment ori modificare care afectează sau ar putea afecta respectarea condiţiilor de eligibilitate menţionate în Ghidul solicitantului vor fi aduse la cunoştinţa AM/OI în termen cel mult 5 zile de la luarea la cunoştinţă a situaţiei respective.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1C9283A"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ia toate măsurile pentru respectarea regulilor privind evitarea conflictului de interese, în conformitate cu reglementările europene şi naţionale în vigoare.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D6ECFE"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003A5499"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8FDADBF"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0329E03"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asigure contribuţia proprie declarată în secțiunea aferentă din Cererea de Finanțare.</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07E6E7D"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Să finanţeze toate costurile, inclusiv costurile neeligibile, dar necesare, aferente proiectului</w:t>
      </w:r>
    </w:p>
    <w:p w:rsidR="003A5499" w:rsidRPr="007E50D5" w:rsidRDefault="009424FB" w:rsidP="003A5499">
      <w:pPr>
        <w:spacing w:before="0" w:after="200"/>
        <w:rPr>
          <w:rFonts w:eastAsia="Calibri" w:cs="Times New Roman"/>
          <w:color w:val="0070C0"/>
        </w:rPr>
      </w:pPr>
      <w:r>
        <w:rPr>
          <w:noProof/>
          <w:color w:val="0070C0"/>
          <w:lang w:val="en-US"/>
        </w:rPr>
        <w:lastRenderedPageBreak/>
        <mc:AlternateContent>
          <mc:Choice Requires="wps">
            <w:drawing>
              <wp:inline distT="0" distB="0" distL="0" distR="0">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B46B662"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3A5499" w:rsidRPr="007E50D5">
        <w:rPr>
          <w:rFonts w:eastAsia="Calibri" w:cs="Times New Roman"/>
          <w:color w:val="0070C0"/>
        </w:rPr>
        <w:t xml:space="preserve"> Să menţină dreptul prevăzut în ghidul solicitantului asupra infrastructurii construită/reabilitată/modernizată/extinsă (unde este cazul), a bunurilor achiziţionate şi natura activităţii pentru care s-a acordat finanţare şi să nu ipotecheze, cu excepția situațiilor prevăzute în contractul de finanțare, pe o perioadă de timp cel puțin egală cu perioada de timp specificată în Ghidul Solicitantului.</w:t>
      </w:r>
    </w:p>
    <w:p w:rsidR="003A5499" w:rsidRPr="007E50D5" w:rsidRDefault="009424FB" w:rsidP="003A5499">
      <w:pPr>
        <w:spacing w:before="0" w:after="200"/>
        <w:rPr>
          <w:rFonts w:eastAsia="Calibri" w:cs="Times New Roman"/>
          <w:color w:val="0070C0"/>
        </w:rPr>
      </w:pPr>
      <w:r>
        <w:rPr>
          <w:noProof/>
          <w:color w:val="0070C0"/>
          <w:lang w:val="en-US"/>
        </w:rPr>
        <mc:AlternateContent>
          <mc:Choice Requires="wps">
            <w:drawing>
              <wp:inline distT="0" distB="0" distL="0" distR="0">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8820A58"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sunt pe deplin autorizat să semnez această declarație în numele &lt;denumire solicitant/partener&gt;</w:t>
      </w:r>
    </w:p>
    <w:p w:rsidR="003A5499" w:rsidRPr="007E50D5" w:rsidRDefault="009424FB" w:rsidP="003A5499">
      <w:pPr>
        <w:spacing w:before="0" w:after="200"/>
        <w:jc w:val="left"/>
        <w:rPr>
          <w:rFonts w:eastAsia="Calibri" w:cs="Times New Roman"/>
          <w:color w:val="0070C0"/>
        </w:rPr>
      </w:pPr>
      <w:r>
        <w:rPr>
          <w:noProof/>
          <w:color w:val="0070C0"/>
          <w:lang w:val="en-US"/>
        </w:rPr>
        <mc:AlternateContent>
          <mc:Choice Requires="wps">
            <w:drawing>
              <wp:inline distT="0" distB="0" distL="0" distR="0">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62F640C"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3A5499"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rsidR="00961438" w:rsidRPr="007E50D5" w:rsidRDefault="00961438" w:rsidP="003A5499">
      <w:pPr>
        <w:rPr>
          <w:color w:val="0070C0"/>
        </w:rPr>
      </w:pPr>
    </w:p>
    <w:p w:rsidR="00961438" w:rsidRPr="007E50D5" w:rsidRDefault="00961438" w:rsidP="003A5499">
      <w:pPr>
        <w:rPr>
          <w:color w:val="0070C0"/>
        </w:rPr>
      </w:pP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96F" w:rsidRDefault="00E3196F" w:rsidP="002C069A">
      <w:pPr>
        <w:spacing w:line="240" w:lineRule="auto"/>
      </w:pPr>
      <w:r>
        <w:separator/>
      </w:r>
    </w:p>
  </w:endnote>
  <w:endnote w:type="continuationSeparator" w:id="0">
    <w:p w:rsidR="00E3196F" w:rsidRDefault="00E3196F"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96F" w:rsidRDefault="00E3196F" w:rsidP="002C069A">
      <w:pPr>
        <w:spacing w:line="240" w:lineRule="auto"/>
      </w:pPr>
      <w:r>
        <w:separator/>
      </w:r>
    </w:p>
  </w:footnote>
  <w:footnote w:type="continuationSeparator" w:id="0">
    <w:p w:rsidR="00E3196F" w:rsidRDefault="00E3196F" w:rsidP="002C069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432B7"/>
    <w:rsid w:val="0014699F"/>
    <w:rsid w:val="00150B91"/>
    <w:rsid w:val="001530EC"/>
    <w:rsid w:val="0015412E"/>
    <w:rsid w:val="001932D1"/>
    <w:rsid w:val="001C2E68"/>
    <w:rsid w:val="001C71E6"/>
    <w:rsid w:val="001D371D"/>
    <w:rsid w:val="001D423F"/>
    <w:rsid w:val="00205AA2"/>
    <w:rsid w:val="00207620"/>
    <w:rsid w:val="00221019"/>
    <w:rsid w:val="00221870"/>
    <w:rsid w:val="00243ECE"/>
    <w:rsid w:val="002541E4"/>
    <w:rsid w:val="00260EF3"/>
    <w:rsid w:val="00282086"/>
    <w:rsid w:val="00282FD3"/>
    <w:rsid w:val="00291061"/>
    <w:rsid w:val="002B051B"/>
    <w:rsid w:val="002B45B9"/>
    <w:rsid w:val="002C069A"/>
    <w:rsid w:val="002D1A34"/>
    <w:rsid w:val="002F258D"/>
    <w:rsid w:val="002F359A"/>
    <w:rsid w:val="002F6BF9"/>
    <w:rsid w:val="0030186D"/>
    <w:rsid w:val="003041F7"/>
    <w:rsid w:val="00312A74"/>
    <w:rsid w:val="0032580E"/>
    <w:rsid w:val="00325E2F"/>
    <w:rsid w:val="00365BD9"/>
    <w:rsid w:val="00370C73"/>
    <w:rsid w:val="0037575B"/>
    <w:rsid w:val="00383741"/>
    <w:rsid w:val="00396D34"/>
    <w:rsid w:val="003A5499"/>
    <w:rsid w:val="003B2704"/>
    <w:rsid w:val="003C05C1"/>
    <w:rsid w:val="003C60A9"/>
    <w:rsid w:val="003D3882"/>
    <w:rsid w:val="003D517E"/>
    <w:rsid w:val="003E4CA0"/>
    <w:rsid w:val="003E4CA1"/>
    <w:rsid w:val="003E734F"/>
    <w:rsid w:val="004009C3"/>
    <w:rsid w:val="00402CA0"/>
    <w:rsid w:val="00415D38"/>
    <w:rsid w:val="004436D7"/>
    <w:rsid w:val="004446B0"/>
    <w:rsid w:val="004631F6"/>
    <w:rsid w:val="004820A9"/>
    <w:rsid w:val="0048251A"/>
    <w:rsid w:val="004A2E02"/>
    <w:rsid w:val="004B06B5"/>
    <w:rsid w:val="004B5114"/>
    <w:rsid w:val="004C7CAC"/>
    <w:rsid w:val="004D6579"/>
    <w:rsid w:val="00505815"/>
    <w:rsid w:val="00505936"/>
    <w:rsid w:val="00505F35"/>
    <w:rsid w:val="005075BE"/>
    <w:rsid w:val="0051225F"/>
    <w:rsid w:val="00523560"/>
    <w:rsid w:val="00544EFF"/>
    <w:rsid w:val="005555F1"/>
    <w:rsid w:val="005A1197"/>
    <w:rsid w:val="005A7B8C"/>
    <w:rsid w:val="005B0A65"/>
    <w:rsid w:val="005B7579"/>
    <w:rsid w:val="005D3D77"/>
    <w:rsid w:val="006022A1"/>
    <w:rsid w:val="00602F8D"/>
    <w:rsid w:val="006033D6"/>
    <w:rsid w:val="00610153"/>
    <w:rsid w:val="00611929"/>
    <w:rsid w:val="006161C6"/>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EFB"/>
    <w:rsid w:val="00797B53"/>
    <w:rsid w:val="007A23EA"/>
    <w:rsid w:val="007A53B4"/>
    <w:rsid w:val="007B2C4C"/>
    <w:rsid w:val="007B2EE3"/>
    <w:rsid w:val="007E50D5"/>
    <w:rsid w:val="007F729F"/>
    <w:rsid w:val="00800313"/>
    <w:rsid w:val="00836CC9"/>
    <w:rsid w:val="00837AE1"/>
    <w:rsid w:val="0086157E"/>
    <w:rsid w:val="00872494"/>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6EA1"/>
    <w:rsid w:val="0093245C"/>
    <w:rsid w:val="00933139"/>
    <w:rsid w:val="0093386C"/>
    <w:rsid w:val="009424FB"/>
    <w:rsid w:val="00950540"/>
    <w:rsid w:val="009519B9"/>
    <w:rsid w:val="00961438"/>
    <w:rsid w:val="0096652A"/>
    <w:rsid w:val="00974B15"/>
    <w:rsid w:val="00976A4B"/>
    <w:rsid w:val="0098376A"/>
    <w:rsid w:val="00994483"/>
    <w:rsid w:val="009A2059"/>
    <w:rsid w:val="009D4380"/>
    <w:rsid w:val="009E53B2"/>
    <w:rsid w:val="009E73E0"/>
    <w:rsid w:val="009E7685"/>
    <w:rsid w:val="00A17674"/>
    <w:rsid w:val="00A27C45"/>
    <w:rsid w:val="00A31B32"/>
    <w:rsid w:val="00A54B94"/>
    <w:rsid w:val="00A679DD"/>
    <w:rsid w:val="00A74116"/>
    <w:rsid w:val="00A907EB"/>
    <w:rsid w:val="00A92DB2"/>
    <w:rsid w:val="00A95094"/>
    <w:rsid w:val="00AA6A45"/>
    <w:rsid w:val="00AA7594"/>
    <w:rsid w:val="00AB76A3"/>
    <w:rsid w:val="00AC3651"/>
    <w:rsid w:val="00AD09F9"/>
    <w:rsid w:val="00AD17B3"/>
    <w:rsid w:val="00AD704D"/>
    <w:rsid w:val="00AE5123"/>
    <w:rsid w:val="00AF4FBC"/>
    <w:rsid w:val="00AF745F"/>
    <w:rsid w:val="00B01EA8"/>
    <w:rsid w:val="00B3198F"/>
    <w:rsid w:val="00B328DE"/>
    <w:rsid w:val="00B40758"/>
    <w:rsid w:val="00B51C76"/>
    <w:rsid w:val="00B6782F"/>
    <w:rsid w:val="00B84799"/>
    <w:rsid w:val="00B91AF7"/>
    <w:rsid w:val="00BA16BE"/>
    <w:rsid w:val="00BA6BDF"/>
    <w:rsid w:val="00BA6E6B"/>
    <w:rsid w:val="00BF0D04"/>
    <w:rsid w:val="00BF4360"/>
    <w:rsid w:val="00BF6FDC"/>
    <w:rsid w:val="00C00424"/>
    <w:rsid w:val="00C0502B"/>
    <w:rsid w:val="00C14708"/>
    <w:rsid w:val="00C25C67"/>
    <w:rsid w:val="00C27E0C"/>
    <w:rsid w:val="00C35ACA"/>
    <w:rsid w:val="00C43EA1"/>
    <w:rsid w:val="00C45354"/>
    <w:rsid w:val="00C47FF5"/>
    <w:rsid w:val="00C521A8"/>
    <w:rsid w:val="00C5272F"/>
    <w:rsid w:val="00C542E3"/>
    <w:rsid w:val="00C705B0"/>
    <w:rsid w:val="00C71FCE"/>
    <w:rsid w:val="00C733DB"/>
    <w:rsid w:val="00C73810"/>
    <w:rsid w:val="00C811B5"/>
    <w:rsid w:val="00C84F07"/>
    <w:rsid w:val="00CA1C49"/>
    <w:rsid w:val="00CA3055"/>
    <w:rsid w:val="00CC64C9"/>
    <w:rsid w:val="00CE4E96"/>
    <w:rsid w:val="00CF65FD"/>
    <w:rsid w:val="00D02FC4"/>
    <w:rsid w:val="00D0461E"/>
    <w:rsid w:val="00D06D7E"/>
    <w:rsid w:val="00D27351"/>
    <w:rsid w:val="00D3125D"/>
    <w:rsid w:val="00D51A55"/>
    <w:rsid w:val="00D60147"/>
    <w:rsid w:val="00D66425"/>
    <w:rsid w:val="00D669B8"/>
    <w:rsid w:val="00D67E53"/>
    <w:rsid w:val="00D72E69"/>
    <w:rsid w:val="00D745AC"/>
    <w:rsid w:val="00D80AA0"/>
    <w:rsid w:val="00DA64AF"/>
    <w:rsid w:val="00DB36CE"/>
    <w:rsid w:val="00DC71CA"/>
    <w:rsid w:val="00DF073C"/>
    <w:rsid w:val="00E143D4"/>
    <w:rsid w:val="00E2520F"/>
    <w:rsid w:val="00E3196F"/>
    <w:rsid w:val="00E3408D"/>
    <w:rsid w:val="00E3497F"/>
    <w:rsid w:val="00E40E07"/>
    <w:rsid w:val="00E57029"/>
    <w:rsid w:val="00E73451"/>
    <w:rsid w:val="00E820E6"/>
    <w:rsid w:val="00E83D2E"/>
    <w:rsid w:val="00E86F0F"/>
    <w:rsid w:val="00E90E32"/>
    <w:rsid w:val="00EB1B2C"/>
    <w:rsid w:val="00EB466B"/>
    <w:rsid w:val="00EC5741"/>
    <w:rsid w:val="00EC60C8"/>
    <w:rsid w:val="00ED0228"/>
    <w:rsid w:val="00ED2527"/>
    <w:rsid w:val="00ED7BD8"/>
    <w:rsid w:val="00EF3773"/>
    <w:rsid w:val="00F03AB4"/>
    <w:rsid w:val="00F14DA7"/>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1F26"/>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AB5B96-FCF3-4803-99F3-D91C3856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1942</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Steluta BULACEANU</cp:lastModifiedBy>
  <cp:revision>8</cp:revision>
  <dcterms:created xsi:type="dcterms:W3CDTF">2023-08-01T11:55:00Z</dcterms:created>
  <dcterms:modified xsi:type="dcterms:W3CDTF">2023-08-02T08:02:00Z</dcterms:modified>
</cp:coreProperties>
</file>